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bookmarkStart w:id="1" w:name="_GoBack"/>
      <w:bookmarkEnd w:id="1"/>
    </w:p>
    <w:p>
      <w:pPr>
        <w:pStyle w:val="3"/>
        <w:spacing w:line="242" w:lineRule="auto"/>
      </w:pPr>
    </w:p>
    <w:p>
      <w:pPr>
        <w:pStyle w:val="3"/>
        <w:spacing w:line="243" w:lineRule="auto"/>
      </w:pPr>
    </w:p>
    <w:p>
      <w:pPr>
        <w:pStyle w:val="3"/>
        <w:spacing w:line="243" w:lineRule="auto"/>
      </w:pPr>
    </w:p>
    <w:p>
      <w:pPr>
        <w:spacing w:before="140" w:line="230" w:lineRule="auto"/>
        <w:ind w:left="8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-3"/>
          <w:sz w:val="36"/>
          <w:szCs w:val="36"/>
        </w:rPr>
        <w:t>实例</w:t>
      </w:r>
    </w:p>
    <w:p>
      <w:pPr>
        <w:spacing w:before="149" w:line="233" w:lineRule="auto"/>
        <w:ind w:left="3625"/>
        <w:outlineLvl w:val="9"/>
        <w:rPr>
          <w:rFonts w:ascii="方正大标宋_GBK" w:hAnsi="方正大标宋_GBK" w:eastAsia="方正大标宋_GBK" w:cs="方正大标宋_GBK"/>
          <w:sz w:val="44"/>
          <w:szCs w:val="44"/>
        </w:rPr>
      </w:pPr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民事答辩状</w:t>
      </w:r>
    </w:p>
    <w:p>
      <w:pPr>
        <w:spacing w:before="65" w:line="205" w:lineRule="auto"/>
        <w:ind w:left="285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3"/>
          <w:sz w:val="36"/>
          <w:szCs w:val="36"/>
        </w:rPr>
        <w:t>（责任保险合同纠纷）</w:t>
      </w:r>
    </w:p>
    <w:p>
      <w:pPr>
        <w:spacing w:line="222" w:lineRule="exact"/>
      </w:pPr>
    </w:p>
    <w:tbl>
      <w:tblPr>
        <w:tblStyle w:val="8"/>
        <w:tblW w:w="9380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1206"/>
        <w:gridCol w:w="1671"/>
        <w:gridCol w:w="1019"/>
        <w:gridCol w:w="4420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9380" w:type="dxa"/>
            <w:gridSpan w:val="5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9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>
            <w:pPr>
              <w:pStyle w:val="9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>
            <w:pPr>
              <w:pStyle w:val="9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>
            <w:pPr>
              <w:pStyle w:val="9"/>
              <w:spacing w:before="63" w:line="254" w:lineRule="auto"/>
              <w:ind w:left="85" w:right="78" w:firstLine="417"/>
            </w:pPr>
            <w:r>
              <w:rPr>
                <w:color w:val="231F20"/>
                <w:spacing w:val="4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>
            <w:pPr>
              <w:pStyle w:val="9"/>
              <w:spacing w:before="17" w:line="249" w:lineRule="auto"/>
              <w:ind w:left="86" w:right="9" w:firstLine="409"/>
            </w:pPr>
            <w:r>
              <w:rPr>
                <w:color w:val="231F20"/>
              </w:rPr>
              <w:t>4.</w:t>
            </w:r>
            <w:r>
              <w:rPr>
                <w:color w:val="231F20"/>
                <w:spacing w:val="32"/>
              </w:rPr>
              <w:t xml:space="preserve"> </w:t>
            </w:r>
            <w:r>
              <w:rPr>
                <w:color w:val="231F20"/>
              </w:rPr>
              <w:t>本表</w:t>
            </w:r>
            <w:r>
              <w:rPr>
                <w:color w:val="231F20"/>
                <w:spacing w:val="18"/>
                <w:w w:val="101"/>
              </w:rPr>
              <w:t xml:space="preserve"> </w:t>
            </w:r>
            <w:r>
              <w:rPr>
                <w:color w:val="231F20"/>
              </w:rPr>
              <w:t>word</w:t>
            </w:r>
            <w:r>
              <w:rPr>
                <w:color w:val="231F20"/>
                <w:spacing w:val="42"/>
                <w:w w:val="101"/>
              </w:rPr>
              <w:t xml:space="preserve"> </w:t>
            </w:r>
            <w:r>
              <w:rPr>
                <w:color w:val="231F20"/>
              </w:rPr>
              <w:t xml:space="preserve">电子版填写时，相关栏目可复制粘贴或扩容，但不得改变要素内容、格式设置。例   </w:t>
            </w:r>
            <w:r>
              <w:rPr>
                <w:color w:val="231F20"/>
                <w:spacing w:val="6"/>
              </w:rPr>
              <w:t>如，多原告、多被告或多委托诉讼代理人等情况，可根据实际情</w:t>
            </w:r>
            <w:r>
              <w:rPr>
                <w:color w:val="231F20"/>
                <w:spacing w:val="5"/>
              </w:rPr>
              <w:t>况复制粘贴；需填写文字较多时，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>
            <w:pPr>
              <w:pStyle w:val="9"/>
              <w:spacing w:before="4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9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>
            <w:pPr>
              <w:pStyle w:val="9"/>
              <w:spacing w:before="65" w:line="238" w:lineRule="auto"/>
              <w:ind w:left="84" w:right="86" w:firstLine="416"/>
            </w:pPr>
            <w:r>
              <w:rPr>
                <w:color w:val="231F20"/>
                <w:spacing w:val="4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64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6" w:line="208" w:lineRule="auto"/>
              <w:ind w:left="320"/>
            </w:pPr>
            <w:r>
              <w:rPr>
                <w:color w:val="231F20"/>
                <w:spacing w:val="-2"/>
              </w:rPr>
              <w:t>案号</w:t>
            </w:r>
          </w:p>
        </w:tc>
        <w:tc>
          <w:tcPr>
            <w:tcW w:w="2877" w:type="dxa"/>
            <w:gridSpan w:val="2"/>
            <w:noWrap w:val="0"/>
            <w:vAlign w:val="top"/>
          </w:tcPr>
          <w:p>
            <w:pPr>
              <w:spacing w:before="80" w:line="230" w:lineRule="auto"/>
              <w:ind w:left="13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9"/>
                <w:sz w:val="21"/>
                <w:szCs w:val="21"/>
              </w:rPr>
              <w:t>（2024）沪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  <w:sz w:val="21"/>
                <w:szCs w:val="21"/>
              </w:rPr>
              <w:t>民初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  <w:sz w:val="21"/>
                <w:szCs w:val="21"/>
              </w:rPr>
              <w:t>号</w:t>
            </w:r>
          </w:p>
        </w:tc>
        <w:tc>
          <w:tcPr>
            <w:tcW w:w="1019" w:type="dxa"/>
            <w:noWrap w:val="0"/>
            <w:vAlign w:val="top"/>
          </w:tcPr>
          <w:p>
            <w:pPr>
              <w:pStyle w:val="9"/>
              <w:spacing w:before="86" w:line="208" w:lineRule="auto"/>
              <w:ind w:left="302"/>
            </w:pPr>
            <w:r>
              <w:rPr>
                <w:color w:val="231F20"/>
                <w:spacing w:val="-2"/>
              </w:rPr>
              <w:t>案由</w:t>
            </w:r>
          </w:p>
        </w:tc>
        <w:tc>
          <w:tcPr>
            <w:tcW w:w="4420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0" w:line="230" w:lineRule="auto"/>
              <w:ind w:left="1380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责任保险合同纠纷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80" w:type="dxa"/>
            <w:gridSpan w:val="5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51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3" w:hRule="atLeast"/>
        </w:trPr>
        <w:tc>
          <w:tcPr>
            <w:tcW w:w="2270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8" w:lineRule="auto"/>
              <w:ind w:left="815"/>
            </w:pPr>
            <w:r>
              <w:rPr>
                <w:color w:val="231F20"/>
                <w:spacing w:val="-1"/>
              </w:rPr>
              <w:t>答辩人</w:t>
            </w:r>
          </w:p>
          <w:p>
            <w:pPr>
              <w:pStyle w:val="9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110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1" w:line="228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5"/>
              </w:rPr>
              <w:t xml:space="preserve">名称：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×× 保险股份有限公司</w:t>
            </w:r>
          </w:p>
          <w:p>
            <w:pPr>
              <w:pStyle w:val="9"/>
              <w:spacing w:before="43" w:line="259" w:lineRule="auto"/>
              <w:ind w:left="88" w:right="1064" w:hanging="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2"/>
              </w:rPr>
              <w:t>住所地（主要办事机构所在地</w:t>
            </w:r>
            <w:r>
              <w:rPr>
                <w:color w:val="231F20"/>
                <w:spacing w:val="-4"/>
              </w:rPr>
              <w:t>）：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×× 省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市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6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 xml:space="preserve">区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</w:rPr>
              <w:t>×× 路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10"/>
              </w:rPr>
              <w:t xml:space="preserve">注册地 / 登记地：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×× 省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3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市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5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区  ×× 路</w:t>
            </w:r>
          </w:p>
          <w:p>
            <w:pPr>
              <w:pStyle w:val="9"/>
              <w:spacing w:before="6" w:line="209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法定代表人 / 负责人：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徐  ××       </w:t>
            </w:r>
            <w:r>
              <w:rPr>
                <w:color w:val="231F20"/>
                <w:spacing w:val="-2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总经理</w:t>
            </w:r>
          </w:p>
          <w:p>
            <w:pPr>
              <w:pStyle w:val="9"/>
              <w:spacing w:before="62" w:line="231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before="39" w:line="231" w:lineRule="auto"/>
              <w:ind w:left="82" w:right="1352" w:firstLine="3"/>
            </w:pPr>
            <w:r>
              <w:rPr>
                <w:color w:val="231F20"/>
                <w:spacing w:val="-2"/>
              </w:rPr>
              <w:t xml:space="preserve">统一社会信用代码：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×××××××××××××××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类型：有限责任公司□    股份有限公司</w:t>
            </w:r>
            <w:r>
              <w:rPr>
                <w:rFonts w:hint="default" w:ascii="Wingdings 2" w:hAnsi="Wingdings 2" w:cs="Wingdings 2"/>
                <w:color w:val="231F20"/>
                <w:spacing w:val="20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2"/>
              </w:rPr>
              <w:t>上市公司□</w:t>
            </w:r>
          </w:p>
          <w:p>
            <w:pPr>
              <w:pStyle w:val="9"/>
              <w:spacing w:line="210" w:lineRule="auto"/>
              <w:ind w:left="713"/>
            </w:pPr>
            <w:r>
              <w:rPr>
                <w:color w:val="231F20"/>
              </w:rPr>
              <w:t>其他企业法人□    事业单位□    社会团体□    基金会□</w:t>
            </w:r>
          </w:p>
          <w:p>
            <w:pPr>
              <w:pStyle w:val="9"/>
              <w:spacing w:before="65" w:line="210" w:lineRule="auto"/>
              <w:ind w:left="713"/>
            </w:pPr>
            <w:r>
              <w:rPr>
                <w:color w:val="231F20"/>
              </w:rPr>
              <w:t>社会服务机构□    机关法人□    农村集体经济组织法人□</w:t>
            </w:r>
          </w:p>
          <w:p>
            <w:pPr>
              <w:pStyle w:val="9"/>
              <w:spacing w:before="67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9"/>
              <w:spacing w:before="68" w:line="236" w:lineRule="auto"/>
              <w:ind w:left="83" w:right="302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</w:trPr>
        <w:tc>
          <w:tcPr>
            <w:tcW w:w="2270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110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1" w:line="206" w:lineRule="auto"/>
              <w:ind w:left="84"/>
            </w:pPr>
            <w:r>
              <w:rPr>
                <w:color w:val="231F20"/>
                <w:spacing w:val="-2"/>
              </w:rPr>
              <w:t>有□</w:t>
            </w:r>
          </w:p>
          <w:p>
            <w:pPr>
              <w:pStyle w:val="9"/>
              <w:spacing w:before="69" w:line="207" w:lineRule="auto"/>
              <w:ind w:left="50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9"/>
              <w:spacing w:before="62" w:line="239" w:lineRule="auto"/>
              <w:ind w:left="503"/>
            </w:pPr>
            <w:r>
              <w:rPr>
                <w:color w:val="231F20"/>
                <w:spacing w:val="-2"/>
              </w:rPr>
              <w:t>单位：</w:t>
            </w:r>
            <w:r>
              <w:rPr>
                <w:color w:val="231F20"/>
                <w:spacing w:val="1"/>
              </w:rPr>
              <w:t xml:space="preserve">                            </w:t>
            </w:r>
            <w:r>
              <w:rPr>
                <w:color w:val="231F20"/>
                <w:spacing w:val="-2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          </w:t>
            </w:r>
            <w:r>
              <w:rPr>
                <w:color w:val="231F20"/>
                <w:spacing w:val="-2"/>
              </w:rPr>
              <w:t>联系电话：</w:t>
            </w:r>
          </w:p>
          <w:p>
            <w:pPr>
              <w:pStyle w:val="9"/>
              <w:spacing w:before="27" w:line="218" w:lineRule="auto"/>
              <w:ind w:left="82" w:right="985" w:firstLine="420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</w:rPr>
              <w:t>代理权限：一般授权□    特别授权</w:t>
            </w:r>
            <w:r>
              <w:rPr>
                <w:color w:val="231F20"/>
                <w:spacing w:val="20"/>
                <w:w w:val="101"/>
              </w:rPr>
              <w:t xml:space="preserve"> </w:t>
            </w:r>
            <w:r>
              <w:rPr>
                <w:color w:val="231F20"/>
              </w:rPr>
              <w:t xml:space="preserve">□  </w:t>
            </w:r>
            <w:r>
              <w:rPr>
                <w:color w:val="231F20"/>
                <w:u w:val="single" w:color="auto"/>
              </w:rPr>
              <w:t xml:space="preserve">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               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</w:tc>
      </w:tr>
    </w:tbl>
    <w:p>
      <w:pPr>
        <w:pStyle w:val="3"/>
      </w:pPr>
    </w:p>
    <w:p>
      <w:pPr>
        <w:sectPr>
          <w:headerReference r:id="rId3" w:type="default"/>
          <w:footerReference r:id="rId4" w:type="default"/>
          <w:footerReference r:id="rId5" w:type="even"/>
          <w:pgSz w:w="11906" w:h="16838"/>
          <w:pgMar w:top="400" w:right="1098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80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110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9380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9" w:line="168" w:lineRule="auto"/>
              <w:ind w:left="4091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答辩事项</w:t>
            </w:r>
          </w:p>
          <w:p>
            <w:pPr>
              <w:spacing w:line="228" w:lineRule="auto"/>
              <w:ind w:left="2995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（对原告诉讼请求的确认或者异议）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80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0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（可完整表述答辩事项；为方便、准确梳理要点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8" w:lineRule="auto"/>
              <w:ind w:left="102"/>
            </w:pPr>
            <w:r>
              <w:rPr>
                <w:color w:val="231F20"/>
                <w:spacing w:val="-2"/>
              </w:rPr>
              <w:t>1. 对理赔款有无异议</w:t>
            </w:r>
          </w:p>
        </w:tc>
        <w:tc>
          <w:tcPr>
            <w:tcW w:w="7110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3" w:line="213" w:lineRule="auto"/>
              <w:ind w:left="110" w:right="93" w:hanging="2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6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6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6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6"/>
              </w:rPr>
              <w:t>异议内容：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6"/>
              </w:rPr>
              <w:t>1. 根据保单特别约定第 14 条，本案不属于保险理赔范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围。2.</w:t>
            </w:r>
            <w:r>
              <w:rPr>
                <w:rFonts w:ascii="方正楷体_GBK" w:hAnsi="方正楷体_GBK" w:eastAsia="方正楷体_GBK" w:cs="方正楷体_GBK"/>
                <w:color w:val="231F20"/>
                <w:spacing w:val="33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民事调解书中确定的赔偿金额与原告诉请金额不一致。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100" w:right="84" w:hanging="15"/>
            </w:pPr>
            <w:r>
              <w:rPr>
                <w:color w:val="231F20"/>
                <w:spacing w:val="-1"/>
              </w:rPr>
              <w:t>2. 对是否主张实现债权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3"/>
              </w:rPr>
              <w:t>的费用有无异议</w:t>
            </w:r>
          </w:p>
        </w:tc>
        <w:tc>
          <w:tcPr>
            <w:tcW w:w="7110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3" w:line="210" w:lineRule="auto"/>
              <w:ind w:left="89"/>
            </w:pPr>
            <w:r>
              <w:rPr>
                <w:color w:val="231F20"/>
                <w:spacing w:val="-1"/>
              </w:rPr>
              <w:t>3. 对其他请求有无异议</w:t>
            </w:r>
          </w:p>
        </w:tc>
        <w:tc>
          <w:tcPr>
            <w:tcW w:w="7110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66" w:line="208" w:lineRule="auto"/>
              <w:ind w:left="82"/>
            </w:pPr>
            <w:r>
              <w:rPr>
                <w:color w:val="231F20"/>
                <w:spacing w:val="-1"/>
              </w:rPr>
              <w:t>4. 对标的总额有无异议</w:t>
            </w:r>
          </w:p>
        </w:tc>
        <w:tc>
          <w:tcPr>
            <w:tcW w:w="7110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8" w:line="171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-6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6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6"/>
              </w:rPr>
              <w:t>异议内容：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同上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80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69" w:line="181" w:lineRule="auto"/>
              <w:ind w:left="3938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  <w:p>
            <w:pPr>
              <w:spacing w:line="222" w:lineRule="auto"/>
              <w:ind w:left="3205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（对案件事实的确认或者异议）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9380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1" w:line="260" w:lineRule="auto"/>
              <w:ind w:left="88" w:right="93"/>
              <w:jc w:val="both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3"/>
                <w:sz w:val="21"/>
                <w:szCs w:val="21"/>
              </w:rPr>
              <w:t xml:space="preserve">本案事故并非驾驶非机动车时导致，而是非机动车在静止的状态下滑倒造成，根据保单特别约定第 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  <w:sz w:val="21"/>
                <w:szCs w:val="21"/>
              </w:rPr>
              <w:t>14 条，不属于保险理赔范围。民事调解书中确定的赔偿金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>额为</w:t>
            </w:r>
            <w:r>
              <w:rPr>
                <w:rFonts w:ascii="方正楷体_GBK" w:hAnsi="方正楷体_GBK" w:eastAsia="方正楷体_GBK" w:cs="方正楷体_GBK"/>
                <w:color w:val="231F20"/>
                <w:spacing w:val="35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>80，557 元，非原告诉请金额。原告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承担责任的依据不足，前案雇主关系和赔偿金额均是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双方自认。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4" w:right="84" w:firstLine="18"/>
            </w:pPr>
            <w:r>
              <w:rPr>
                <w:color w:val="231F20"/>
                <w:spacing w:val="-2"/>
              </w:rPr>
              <w:t>1. 对责任保险合同的签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订情况有无异议</w:t>
            </w:r>
          </w:p>
        </w:tc>
        <w:tc>
          <w:tcPr>
            <w:tcW w:w="7110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3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hint="default" w:ascii="Wingdings 2" w:hAnsi="Wingdings 2" w:eastAsia="微软雅黑" w:cs="Wingdings 2"/>
                <w:color w:val="231F20"/>
                <w:spacing w:val="21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2" w:right="84" w:firstLine="3"/>
            </w:pPr>
            <w:r>
              <w:rPr>
                <w:color w:val="231F20"/>
                <w:spacing w:val="-1"/>
              </w:rPr>
              <w:t>2. 对责任保险合同的主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要约定有无异议</w:t>
            </w:r>
          </w:p>
        </w:tc>
        <w:tc>
          <w:tcPr>
            <w:tcW w:w="7110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3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hint="default" w:ascii="Wingdings 2" w:hAnsi="Wingdings 2" w:eastAsia="微软雅黑" w:cs="Wingdings 2"/>
                <w:color w:val="231F20"/>
                <w:spacing w:val="21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4" w:line="251" w:lineRule="auto"/>
              <w:ind w:left="84" w:right="84" w:firstLine="4"/>
              <w:jc w:val="both"/>
            </w:pPr>
            <w:r>
              <w:rPr>
                <w:color w:val="231F20"/>
                <w:spacing w:val="-1"/>
              </w:rPr>
              <w:t>3. 对是否依法就责任保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22"/>
              </w:rPr>
              <w:t>险合同中与投保人有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22"/>
              </w:rPr>
              <w:t>重大利害关系的条款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21"/>
              </w:rPr>
              <w:t>进行提示、说明有无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110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2" w:line="189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-6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6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6"/>
              </w:rPr>
              <w:t>事实与理由：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已通过  ×× 方式履行提示说明义务。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63" w:lineRule="auto"/>
              <w:ind w:left="84" w:right="84" w:hanging="2"/>
            </w:pPr>
            <w:r>
              <w:rPr>
                <w:color w:val="231F20"/>
                <w:spacing w:val="-1"/>
              </w:rPr>
              <w:t>4. 对保险事故发生的情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况有无异议</w:t>
            </w:r>
          </w:p>
        </w:tc>
        <w:tc>
          <w:tcPr>
            <w:tcW w:w="7110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1" w:line="248" w:lineRule="auto"/>
              <w:ind w:left="85" w:right="79" w:hanging="1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4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4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4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4"/>
              </w:rPr>
              <w:t>事实与理由：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</w:rPr>
              <w:t>1. 本案事故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</w:rPr>
              <w:t>并非驾驶非机动车时导致，而是非机动车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</w:rPr>
              <w:t>在静止的状态下滑倒造成，事发时该车辆并不在骑手李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</w:rPr>
              <w:t>×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>× 控制之下，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第 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</w:rPr>
              <w:t>三者人伤系车辆造成而非李</w:t>
            </w:r>
            <w:r>
              <w:rPr>
                <w:rFonts w:ascii="方正楷体_GBK" w:hAnsi="方正楷体_GBK" w:eastAsia="方正楷体_GBK" w:cs="方正楷体_GBK"/>
                <w:color w:val="231F20"/>
                <w:spacing w:val="55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</w:rPr>
              <w:t>××,根据保单特别约定第</w:t>
            </w:r>
            <w:r>
              <w:rPr>
                <w:rFonts w:ascii="方正楷体_GBK" w:hAnsi="方正楷体_GBK" w:eastAsia="方正楷体_GBK" w:cs="方正楷体_GBK"/>
                <w:color w:val="231F20"/>
                <w:spacing w:val="46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</w:rPr>
              <w:t>14 条，不属于保险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5"/>
              </w:rPr>
              <w:t>理赔范围。2.</w:t>
            </w:r>
            <w:r>
              <w:rPr>
                <w:rFonts w:ascii="方正楷体_GBK" w:hAnsi="方正楷体_GBK" w:eastAsia="方正楷体_GBK" w:cs="方正楷体_GBK"/>
                <w:color w:val="231F20"/>
                <w:spacing w:val="27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5"/>
              </w:rPr>
              <w:t>民事调解书中确定的赔偿金额为 80，557 元，非原告诉请金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额。3. 原告承担责任的依据不足，前案雇主关系和赔偿金额均是双方自认。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4" w:line="242" w:lineRule="auto"/>
              <w:ind w:left="84" w:right="84" w:firstLine="1"/>
            </w:pPr>
            <w:r>
              <w:rPr>
                <w:color w:val="231F20"/>
                <w:spacing w:val="-1"/>
              </w:rPr>
              <w:t>5. 对具体损失项目及其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数额有无异议</w:t>
            </w:r>
          </w:p>
        </w:tc>
        <w:tc>
          <w:tcPr>
            <w:tcW w:w="7110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8" w:line="171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5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-5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5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5"/>
              </w:rPr>
              <w:t>事实与理由：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同上</w:t>
            </w:r>
          </w:p>
        </w:tc>
      </w:tr>
    </w:tbl>
    <w:p>
      <w:pPr>
        <w:pStyle w:val="3"/>
      </w:pPr>
    </w:p>
    <w:p>
      <w:pPr>
        <w:sectPr>
          <w:footerReference r:id="rId6" w:type="default"/>
          <w:pgSz w:w="11906" w:h="16838"/>
          <w:pgMar w:top="400" w:right="1381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80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110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8" w:lineRule="auto"/>
              <w:ind w:left="83" w:right="84" w:firstLine="3"/>
            </w:pPr>
            <w:r>
              <w:rPr>
                <w:color w:val="231F20"/>
                <w:spacing w:val="-1"/>
              </w:rPr>
              <w:t>6. 对责任保险合同的履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行情况有无异议</w:t>
            </w:r>
          </w:p>
        </w:tc>
        <w:tc>
          <w:tcPr>
            <w:tcW w:w="7110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3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hint="default" w:ascii="Wingdings 2" w:hAnsi="Wingdings 2" w:eastAsia="微软雅黑" w:cs="Wingdings 2"/>
                <w:color w:val="231F20"/>
                <w:spacing w:val="21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3" w:line="209" w:lineRule="auto"/>
              <w:ind w:left="84"/>
            </w:pPr>
            <w:r>
              <w:rPr>
                <w:color w:val="231F20"/>
                <w:spacing w:val="-1"/>
              </w:rPr>
              <w:t>7. 答辩依据</w:t>
            </w:r>
          </w:p>
        </w:tc>
        <w:tc>
          <w:tcPr>
            <w:tcW w:w="7110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0" w:line="226" w:lineRule="auto"/>
              <w:ind w:left="83"/>
              <w:rPr>
                <w:rFonts w:ascii="方正楷体_GBK" w:hAnsi="方正楷体_GBK" w:eastAsia="方正楷体_GBK" w:cs="方正楷体_GBK"/>
              </w:rPr>
            </w:pPr>
            <w:bookmarkStart w:id="0" w:name="bookmark303"/>
            <w:bookmarkEnd w:id="0"/>
            <w:r>
              <w:rPr>
                <w:color w:val="231F20"/>
                <w:spacing w:val="-9"/>
              </w:rPr>
              <w:t>合同约定：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>《雇主责任保险单》第</w:t>
            </w:r>
            <w:r>
              <w:rPr>
                <w:rFonts w:ascii="方正楷体_GBK" w:hAnsi="方正楷体_GBK" w:eastAsia="方正楷体_GBK" w:cs="方正楷体_GBK"/>
                <w:color w:val="231F20"/>
                <w:spacing w:val="5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>14 条</w:t>
            </w:r>
          </w:p>
          <w:p>
            <w:pPr>
              <w:pStyle w:val="9"/>
              <w:spacing w:before="43" w:line="218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法律规定：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《中华人民共和国保险法》第十四条等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4" w:line="237" w:lineRule="auto"/>
              <w:ind w:left="84" w:right="85" w:firstLine="3"/>
            </w:pPr>
            <w:r>
              <w:rPr>
                <w:color w:val="231F20"/>
                <w:spacing w:val="2"/>
              </w:rPr>
              <w:t>8. 有无其他免责 / 减责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2"/>
              </w:rPr>
              <w:t>事由</w:t>
            </w:r>
          </w:p>
        </w:tc>
        <w:tc>
          <w:tcPr>
            <w:tcW w:w="7110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right="84" w:firstLine="117"/>
            </w:pPr>
            <w:r>
              <w:rPr>
                <w:color w:val="231F20"/>
                <w:spacing w:val="-4"/>
              </w:rPr>
              <w:t>9. 其他需要说明的内容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（可另附页）</w:t>
            </w:r>
          </w:p>
        </w:tc>
        <w:tc>
          <w:tcPr>
            <w:tcW w:w="7110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1" w:line="217" w:lineRule="auto"/>
              <w:jc w:val="right"/>
            </w:pPr>
            <w:r>
              <w:rPr>
                <w:color w:val="231F20"/>
                <w:spacing w:val="-19"/>
              </w:rPr>
              <w:t>10. 证据清单（可另附页）</w:t>
            </w:r>
          </w:p>
        </w:tc>
        <w:tc>
          <w:tcPr>
            <w:tcW w:w="7110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80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5" w:line="191" w:lineRule="auto"/>
              <w:ind w:left="3185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48" w:lineRule="auto"/>
              <w:ind w:left="80" w:firstLine="3"/>
              <w:jc w:val="both"/>
            </w:pPr>
            <w:r>
              <w:rPr>
                <w:color w:val="231F20"/>
                <w:spacing w:val="-1"/>
              </w:rPr>
              <w:t>是否了解调解作为非诉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讼纠纷解决方式，能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8"/>
              </w:rPr>
              <w:t>及时、高效、低成本、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不伤和气地解决纠纷</w:t>
            </w:r>
          </w:p>
        </w:tc>
        <w:tc>
          <w:tcPr>
            <w:tcW w:w="7110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0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110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6" w:line="258" w:lineRule="auto"/>
              <w:ind w:left="83" w:firstLine="19"/>
              <w:jc w:val="both"/>
            </w:pPr>
            <w:r>
              <w:rPr>
                <w:color w:val="231F20"/>
                <w:spacing w:val="-1"/>
              </w:rPr>
              <w:t>1. 立案后选择先行调解的，可以很快启动调解程序。如不同意调解，法院将</w:t>
            </w:r>
            <w:r>
              <w:rPr>
                <w:color w:val="231F20"/>
                <w:spacing w:val="3"/>
              </w:rPr>
              <w:t xml:space="preserve">   依程序开庭审理案件，但可能需要经过较长一段</w:t>
            </w:r>
            <w:r>
              <w:rPr>
                <w:color w:val="231F20"/>
                <w:spacing w:val="2"/>
              </w:rPr>
              <w:t>时间的排期等待，且审理、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执行周期相对较长。</w:t>
            </w:r>
          </w:p>
          <w:p>
            <w:pPr>
              <w:pStyle w:val="9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5" w:line="261" w:lineRule="auto"/>
              <w:ind w:left="84" w:right="91" w:firstLine="1"/>
            </w:pPr>
            <w:r>
              <w:rPr>
                <w:color w:val="231F20"/>
              </w:rPr>
              <w:t>2. 选择先行调解，调解成功且自动履行的免交诉讼费用，申请司法</w:t>
            </w:r>
            <w:r>
              <w:rPr>
                <w:color w:val="231F20"/>
                <w:spacing w:val="-1"/>
              </w:rPr>
              <w:t>确认的不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7" w:line="256" w:lineRule="auto"/>
              <w:ind w:left="85" w:right="92" w:firstLine="4"/>
            </w:pPr>
            <w:r>
              <w:rPr>
                <w:color w:val="231F20"/>
              </w:rPr>
              <w:t>3. 首次调解不成功，但仍有继续调解意愿的，可以选择更</w:t>
            </w:r>
            <w:r>
              <w:rPr>
                <w:color w:val="231F20"/>
                <w:spacing w:val="-1"/>
              </w:rPr>
              <w:t>换调解组织和调解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员再进行调解。调解无法达成一致意见的，法院将依程序排期开庭。</w:t>
            </w:r>
          </w:p>
          <w:p>
            <w:pPr>
              <w:pStyle w:val="9"/>
              <w:spacing w:before="15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6" w:line="261" w:lineRule="auto"/>
              <w:ind w:left="84" w:right="98" w:hanging="2"/>
            </w:pPr>
            <w:r>
              <w:rPr>
                <w:color w:val="231F20"/>
              </w:rPr>
              <w:t>4. 依照法律规定，调解具有保密性要求，调解过程不公开</w:t>
            </w:r>
            <w:r>
              <w:rPr>
                <w:color w:val="231F20"/>
                <w:spacing w:val="-1"/>
              </w:rPr>
              <w:t>，调解协议未经当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事人同意不得公开。</w:t>
            </w:r>
          </w:p>
          <w:p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5" w:line="261" w:lineRule="auto"/>
              <w:ind w:left="85" w:right="95"/>
            </w:pPr>
            <w:r>
              <w:rPr>
                <w:color w:val="231F20"/>
              </w:rPr>
              <w:t>5. 调解达成的协议具有法律效力，可以依照法律规定申请</w:t>
            </w:r>
            <w:r>
              <w:rPr>
                <w:color w:val="231F20"/>
                <w:spacing w:val="-1"/>
              </w:rPr>
              <w:t>司法确认，具有强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5"/>
              </w:rPr>
              <w:t>制执行效力。</w:t>
            </w:r>
          </w:p>
          <w:p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227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110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9" w:line="258" w:lineRule="auto"/>
              <w:ind w:left="86" w:right="6602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>
            <w:pPr>
              <w:pStyle w:val="9"/>
              <w:spacing w:line="208" w:lineRule="auto"/>
              <w:ind w:left="86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>
      <w:pPr>
        <w:spacing w:before="169" w:line="219" w:lineRule="auto"/>
        <w:ind w:left="5429" w:right="35" w:hanging="2329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1"/>
          <w:sz w:val="30"/>
          <w:szCs w:val="30"/>
        </w:rPr>
        <w:t>答辩人（签字、盖章</w:t>
      </w:r>
      <w:r>
        <w:rPr>
          <w:rFonts w:ascii="方正小标宋_GBK" w:hAnsi="方正小标宋_GBK" w:eastAsia="方正小标宋_GBK" w:cs="方正小标宋_GBK"/>
          <w:color w:val="231F20"/>
          <w:spacing w:val="-5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24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1"/>
          <w:sz w:val="30"/>
          <w:szCs w:val="30"/>
        </w:rPr>
        <w:t>×× 保险股份有限公司</w:t>
      </w:r>
      <w:r>
        <w:rPr>
          <w:rFonts w:ascii="方正楷体_GBK" w:hAnsi="方正楷体_GBK" w:eastAsia="方正楷体_GBK" w:cs="方正楷体_GBK"/>
          <w:color w:val="231F20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 xml:space="preserve">日期：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×× 年  ××</w:t>
      </w:r>
      <w:r>
        <w:rPr>
          <w:rFonts w:ascii="方正楷体_GBK" w:hAnsi="方正楷体_GBK" w:eastAsia="方正楷体_GBK" w:cs="方正楷体_GBK"/>
          <w:color w:val="231F20"/>
          <w:spacing w:val="42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月  ××  日</w:t>
      </w:r>
    </w:p>
    <w:p>
      <w:pPr>
        <w:spacing w:line="219" w:lineRule="auto"/>
        <w:rPr>
          <w:rFonts w:ascii="方正楷体_GBK" w:hAnsi="方正楷体_GBK" w:eastAsia="方正楷体_GBK" w:cs="方正楷体_GBK"/>
          <w:sz w:val="30"/>
          <w:szCs w:val="30"/>
        </w:rPr>
        <w:sectPr>
          <w:footerReference r:id="rId7" w:type="default"/>
          <w:pgSz w:w="11906" w:h="16838"/>
          <w:pgMar w:top="400" w:right="1098" w:bottom="998" w:left="1417" w:header="0" w:footer="810" w:gutter="0"/>
          <w:cols w:space="720" w:num="1"/>
        </w:sectPr>
      </w:pPr>
    </w:p>
    <w:p>
      <w:pPr>
        <w:spacing w:before="169" w:line="219" w:lineRule="auto"/>
        <w:ind w:left="5428" w:hanging="3954"/>
        <w:rPr>
          <w:rFonts w:ascii="方正楷体_GBK" w:hAnsi="方正楷体_GBK" w:eastAsia="方正楷体_GBK" w:cs="方正楷体_GBK"/>
          <w:sz w:val="30"/>
          <w:szCs w:val="30"/>
        </w:rPr>
      </w:pPr>
    </w:p>
    <w:sectPr>
      <w:headerReference r:id="rId8" w:type="default"/>
      <w:footerReference r:id="rId9" w:type="default"/>
      <w:pgSz w:w="11906" w:h="16838"/>
      <w:pgMar w:top="400" w:right="1417" w:bottom="998" w:left="1133" w:header="0" w:footer="81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9043"/>
      <w:jc w:val="right"/>
      <w:rPr>
        <w:rFonts w:ascii="Times New Roman" w:hAnsi="Times New Roman" w:eastAsia="Times New Roman" w:cs="Times New Roman"/>
        <w:sz w:val="21"/>
        <w:szCs w:val="21"/>
      </w:rPr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"/>
      <w:rPr>
        <w:rFonts w:ascii="Times New Roman" w:hAnsi="Times New Roman" w:eastAsia="Times New Roman" w:cs="Times New Roman"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9043"/>
      <w:rPr>
        <w:rFonts w:ascii="Times New Roman" w:hAnsi="Times New Roman" w:eastAsia="Times New Roman" w:cs="Times New Roman"/>
        <w:sz w:val="21"/>
        <w:szCs w:val="2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hint="default" w:ascii="Times New Roman" w:hAnsi="Times New Roman" w:eastAsia="宋体" w:cs="Times New Roman"/>
        <w:sz w:val="21"/>
        <w:szCs w:val="21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500"/>
  <w:hyphenationZone w:val="360"/>
  <w:evenAndOddHeaders w:val="1"/>
  <w:displayHorizontalDrawingGridEvery w:val="1"/>
  <w:displayVerticalDrawingGridEvery w:val="1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jA1ZDA3ZWU1ODI5Y2EyM2Q5YjAxYjk0NDQ4MGIifQ=="/>
  </w:docVars>
  <w:rsids>
    <w:rsidRoot w:val="00000000"/>
    <w:rsid w:val="05156198"/>
    <w:rsid w:val="057549D3"/>
    <w:rsid w:val="05922349"/>
    <w:rsid w:val="0890203D"/>
    <w:rsid w:val="0B8C6CF8"/>
    <w:rsid w:val="0EEEE2EE"/>
    <w:rsid w:val="1BB82A97"/>
    <w:rsid w:val="1DAE4148"/>
    <w:rsid w:val="33DA9E9B"/>
    <w:rsid w:val="3AEB0608"/>
    <w:rsid w:val="3CE8434E"/>
    <w:rsid w:val="3F47EB2B"/>
    <w:rsid w:val="3F9FDA55"/>
    <w:rsid w:val="3FDF4AB0"/>
    <w:rsid w:val="3FEFD56B"/>
    <w:rsid w:val="3FFCB97D"/>
    <w:rsid w:val="4B717A4F"/>
    <w:rsid w:val="53DB51DC"/>
    <w:rsid w:val="5646061F"/>
    <w:rsid w:val="576F55A7"/>
    <w:rsid w:val="59BDB788"/>
    <w:rsid w:val="5BEF04A4"/>
    <w:rsid w:val="5E8751DF"/>
    <w:rsid w:val="5F3E0651"/>
    <w:rsid w:val="5F4F5ADA"/>
    <w:rsid w:val="5FBFE48F"/>
    <w:rsid w:val="64146D2A"/>
    <w:rsid w:val="64715B3A"/>
    <w:rsid w:val="681D65CC"/>
    <w:rsid w:val="68A26E3A"/>
    <w:rsid w:val="69271AFF"/>
    <w:rsid w:val="6B99415D"/>
    <w:rsid w:val="6DDF034E"/>
    <w:rsid w:val="6E97D185"/>
    <w:rsid w:val="6FB32028"/>
    <w:rsid w:val="72FFF92E"/>
    <w:rsid w:val="76EF6C71"/>
    <w:rsid w:val="775FFE76"/>
    <w:rsid w:val="77994615"/>
    <w:rsid w:val="7AEC944A"/>
    <w:rsid w:val="7DCE6B2B"/>
    <w:rsid w:val="7DDD7FB7"/>
    <w:rsid w:val="7EFFA409"/>
    <w:rsid w:val="7F67DE2C"/>
    <w:rsid w:val="7F7F2C22"/>
    <w:rsid w:val="7FB5D95A"/>
    <w:rsid w:val="9FFE29DF"/>
    <w:rsid w:val="AFDF088E"/>
    <w:rsid w:val="B3D34B61"/>
    <w:rsid w:val="BA23968D"/>
    <w:rsid w:val="BBEF5D6A"/>
    <w:rsid w:val="BBFC5E68"/>
    <w:rsid w:val="BCFD7A76"/>
    <w:rsid w:val="BD6B81A0"/>
    <w:rsid w:val="BF3E99BB"/>
    <w:rsid w:val="C9EF6A62"/>
    <w:rsid w:val="CD7FAD0D"/>
    <w:rsid w:val="D7B5F79C"/>
    <w:rsid w:val="DBA9DAA9"/>
    <w:rsid w:val="DBDB9F78"/>
    <w:rsid w:val="DD7F6448"/>
    <w:rsid w:val="E3A7CB25"/>
    <w:rsid w:val="EE0F614E"/>
    <w:rsid w:val="EE7CA6F3"/>
    <w:rsid w:val="EFF7845E"/>
    <w:rsid w:val="F1D7E444"/>
    <w:rsid w:val="F1EAF164"/>
    <w:rsid w:val="F5F3FF2A"/>
    <w:rsid w:val="F73DB915"/>
    <w:rsid w:val="F7874722"/>
    <w:rsid w:val="F7DBDE27"/>
    <w:rsid w:val="F9E930F4"/>
    <w:rsid w:val="FC3FDAE6"/>
    <w:rsid w:val="FCEFA4CD"/>
    <w:rsid w:val="FDBF986F"/>
    <w:rsid w:val="FE7A7E98"/>
    <w:rsid w:val="FEA47172"/>
    <w:rsid w:val="FF2D6B59"/>
    <w:rsid w:val="FFBED09F"/>
    <w:rsid w:val="FFDF80FA"/>
    <w:rsid w:val="FFF7173D"/>
    <w:rsid w:val="FFFD6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Arial" w:hAnsi="Arial" w:eastAsia="仿宋"/>
      <w:b/>
      <w:kern w:val="44"/>
      <w:sz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header" Target="header2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469698</Words>
  <Characters>482174</Characters>
  <TotalTime>13</TotalTime>
  <ScaleCrop>false</ScaleCrop>
  <LinksUpToDate>false</LinksUpToDate>
  <CharactersWithSpaces>636191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2025-05-31T09:01:00Z</dcterms:created>
  <dc:creator>Administrator</dc:creator>
  <cp:lastModifiedBy>Administrator</cp:lastModifiedBy>
  <dcterms:modified xsi:type="dcterms:W3CDTF">2025-07-25T03:31:23Z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2025-05-31T18:41:00Z</vt:filetime>
  </property>
  <property fmtid="{D5CDD505-2E9C-101B-9397-08002B2CF9AE}" pid="4" name="KSOProductBuildVer">
    <vt:lpwstr>2052-11.8.6.8810</vt:lpwstr>
  </property>
  <property fmtid="{D5CDD505-2E9C-101B-9397-08002B2CF9AE}" pid="5" name="ICV">
    <vt:lpwstr>7987D10F561945B0BF383DEF26BB00AC_13</vt:lpwstr>
  </property>
  <property fmtid="{D5CDD505-2E9C-101B-9397-08002B2CF9AE}" pid="6" name="KSOTemplateDocerSaveRecord">
    <vt:lpwstr>eyJoZGlkIjoiMDg0MGVhYzM1YjM2NGYxZDg4ZWM4MjIxNGQ2YWI5OTUiLCJ1c2VySWQiOiI2OTg4MzU4NjYifQ==</vt:lpwstr>
  </property>
</Properties>
</file>